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4867B" w14:textId="2BFAA5C2" w:rsidR="00812356" w:rsidRPr="00154254" w:rsidRDefault="00812356" w:rsidP="00154254">
      <w:pPr>
        <w:pStyle w:val="paragraph"/>
        <w:spacing w:before="0" w:beforeAutospacing="0" w:after="0" w:afterAutospacing="0"/>
        <w:jc w:val="center"/>
        <w:textAlignment w:val="baseline"/>
        <w:rPr>
          <w:rFonts w:ascii="Calibri" w:hAnsi="Calibri" w:cs="Calibri"/>
          <w:sz w:val="22"/>
          <w:szCs w:val="22"/>
        </w:rPr>
      </w:pPr>
      <w:r w:rsidRPr="00154254">
        <w:rPr>
          <w:rFonts w:ascii="Calibri" w:eastAsiaTheme="minorHAnsi" w:hAnsi="Calibri" w:cs="Calibri"/>
          <w:noProof/>
          <w:sz w:val="22"/>
          <w:szCs w:val="22"/>
        </w:rPr>
        <w:drawing>
          <wp:inline distT="0" distB="0" distL="0" distR="0" wp14:anchorId="3F626EFC" wp14:editId="0BA5C25D">
            <wp:extent cx="1543050" cy="110412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6523" cy="1128076"/>
                    </a:xfrm>
                    <a:prstGeom prst="rect">
                      <a:avLst/>
                    </a:prstGeom>
                    <a:noFill/>
                    <a:ln>
                      <a:noFill/>
                    </a:ln>
                  </pic:spPr>
                </pic:pic>
              </a:graphicData>
            </a:graphic>
          </wp:inline>
        </w:drawing>
      </w:r>
    </w:p>
    <w:p w14:paraId="05F0AB31" w14:textId="69715791" w:rsidR="00812356" w:rsidRPr="004612D7" w:rsidRDefault="00812356" w:rsidP="00812356">
      <w:pPr>
        <w:pStyle w:val="paragraph"/>
        <w:spacing w:before="0" w:beforeAutospacing="0" w:after="0" w:afterAutospacing="0"/>
        <w:jc w:val="center"/>
        <w:textAlignment w:val="baseline"/>
        <w:rPr>
          <w:rFonts w:ascii="Calibri" w:hAnsi="Calibri" w:cs="Calibri"/>
          <w:sz w:val="20"/>
          <w:szCs w:val="20"/>
        </w:rPr>
      </w:pPr>
      <w:r w:rsidRPr="004612D7">
        <w:rPr>
          <w:rStyle w:val="normaltextrun"/>
          <w:rFonts w:ascii="Calibri" w:hAnsi="Calibri" w:cs="Calibri"/>
          <w:b/>
          <w:bCs/>
          <w:color w:val="3E3E3E"/>
          <w:sz w:val="20"/>
          <w:szCs w:val="20"/>
        </w:rPr>
        <w:t>N</w:t>
      </w:r>
      <w:r w:rsidRPr="004612D7">
        <w:rPr>
          <w:rStyle w:val="normaltextrun"/>
          <w:rFonts w:ascii="Calibri" w:hAnsi="Calibri" w:cs="Calibri"/>
          <w:color w:val="3E3E3E"/>
          <w:sz w:val="20"/>
          <w:szCs w:val="20"/>
        </w:rPr>
        <w:t>orth </w:t>
      </w:r>
      <w:r w:rsidRPr="004612D7">
        <w:rPr>
          <w:rStyle w:val="normaltextrun"/>
          <w:rFonts w:ascii="Calibri" w:hAnsi="Calibri" w:cs="Calibri"/>
          <w:b/>
          <w:bCs/>
          <w:color w:val="3E3E3E"/>
          <w:sz w:val="20"/>
          <w:szCs w:val="20"/>
        </w:rPr>
        <w:t>C</w:t>
      </w:r>
      <w:r w:rsidRPr="004612D7">
        <w:rPr>
          <w:rStyle w:val="normaltextrun"/>
          <w:rFonts w:ascii="Calibri" w:hAnsi="Calibri" w:cs="Calibri"/>
          <w:color w:val="3E3E3E"/>
          <w:sz w:val="20"/>
          <w:szCs w:val="20"/>
        </w:rPr>
        <w:t>entral </w:t>
      </w:r>
      <w:r w:rsidRPr="004612D7">
        <w:rPr>
          <w:rStyle w:val="normaltextrun"/>
          <w:rFonts w:ascii="Calibri" w:hAnsi="Calibri" w:cs="Calibri"/>
          <w:b/>
          <w:bCs/>
          <w:color w:val="3E3E3E"/>
          <w:sz w:val="20"/>
          <w:szCs w:val="20"/>
        </w:rPr>
        <w:t>T</w:t>
      </w:r>
      <w:r w:rsidRPr="004612D7">
        <w:rPr>
          <w:rStyle w:val="normaltextrun"/>
          <w:rFonts w:ascii="Calibri" w:hAnsi="Calibri" w:cs="Calibri"/>
          <w:color w:val="3E3E3E"/>
          <w:sz w:val="20"/>
          <w:szCs w:val="20"/>
        </w:rPr>
        <w:t>exas </w:t>
      </w:r>
      <w:r w:rsidRPr="004612D7">
        <w:rPr>
          <w:rStyle w:val="normaltextrun"/>
          <w:rFonts w:ascii="Calibri" w:hAnsi="Calibri" w:cs="Calibri"/>
          <w:b/>
          <w:bCs/>
          <w:color w:val="3E3E3E"/>
          <w:sz w:val="20"/>
          <w:szCs w:val="20"/>
        </w:rPr>
        <w:t>C</w:t>
      </w:r>
      <w:r w:rsidRPr="004612D7">
        <w:rPr>
          <w:rStyle w:val="normaltextrun"/>
          <w:rFonts w:ascii="Calibri" w:hAnsi="Calibri" w:cs="Calibri"/>
          <w:color w:val="3E3E3E"/>
          <w:sz w:val="20"/>
          <w:szCs w:val="20"/>
        </w:rPr>
        <w:t>ouncil of </w:t>
      </w:r>
      <w:r w:rsidRPr="004612D7">
        <w:rPr>
          <w:rStyle w:val="normaltextrun"/>
          <w:rFonts w:ascii="Calibri" w:hAnsi="Calibri" w:cs="Calibri"/>
          <w:b/>
          <w:bCs/>
          <w:color w:val="3E3E3E"/>
          <w:sz w:val="20"/>
          <w:szCs w:val="20"/>
        </w:rPr>
        <w:t>G</w:t>
      </w:r>
      <w:r w:rsidRPr="004612D7">
        <w:rPr>
          <w:rStyle w:val="normaltextrun"/>
          <w:rFonts w:ascii="Calibri" w:hAnsi="Calibri" w:cs="Calibri"/>
          <w:color w:val="3E3E3E"/>
          <w:sz w:val="20"/>
          <w:szCs w:val="20"/>
        </w:rPr>
        <w:t>overnments</w:t>
      </w:r>
      <w:r w:rsidR="00154254" w:rsidRPr="004612D7">
        <w:rPr>
          <w:rStyle w:val="normaltextrun"/>
          <w:rFonts w:ascii="Calibri" w:hAnsi="Calibri" w:cs="Calibri"/>
          <w:color w:val="3E3E3E"/>
          <w:sz w:val="20"/>
          <w:szCs w:val="20"/>
        </w:rPr>
        <w:t xml:space="preserve"> </w:t>
      </w:r>
      <w:r w:rsidRPr="004612D7">
        <w:rPr>
          <w:rStyle w:val="normaltextrun"/>
          <w:rFonts w:ascii="Calibri" w:hAnsi="Calibri" w:cs="Calibri"/>
          <w:color w:val="3E3E3E"/>
          <w:sz w:val="20"/>
          <w:szCs w:val="20"/>
        </w:rPr>
        <w:t> </w:t>
      </w:r>
      <w:r w:rsidRPr="004612D7">
        <w:rPr>
          <w:rStyle w:val="normaltextrun"/>
          <w:rFonts w:ascii="Calibri" w:hAnsi="Calibri" w:cs="Calibri"/>
          <w:color w:val="3E3E3E"/>
          <w:sz w:val="20"/>
          <w:szCs w:val="20"/>
        </w:rPr>
        <w:sym w:font="Wingdings" w:char="F0A7"/>
      </w:r>
      <w:r w:rsidR="00154254" w:rsidRPr="004612D7">
        <w:rPr>
          <w:rStyle w:val="normaltextrun"/>
          <w:rFonts w:ascii="Calibri" w:hAnsi="Calibri" w:cs="Calibri"/>
          <w:color w:val="3E3E3E"/>
          <w:sz w:val="20"/>
          <w:szCs w:val="20"/>
        </w:rPr>
        <w:t xml:space="preserve">  </w:t>
      </w:r>
      <w:r w:rsidRPr="004612D7">
        <w:rPr>
          <w:rStyle w:val="normaltextrun"/>
          <w:rFonts w:ascii="Calibri" w:hAnsi="Calibri" w:cs="Calibri"/>
          <w:b/>
          <w:bCs/>
          <w:color w:val="3E3E3E"/>
          <w:sz w:val="20"/>
          <w:szCs w:val="20"/>
        </w:rPr>
        <w:t>E</w:t>
      </w:r>
      <w:r w:rsidRPr="004612D7">
        <w:rPr>
          <w:rStyle w:val="normaltextrun"/>
          <w:rFonts w:ascii="Calibri" w:hAnsi="Calibri" w:cs="Calibri"/>
          <w:color w:val="3E3E3E"/>
          <w:sz w:val="20"/>
          <w:szCs w:val="20"/>
        </w:rPr>
        <w:t>mergency </w:t>
      </w:r>
      <w:r w:rsidRPr="004612D7">
        <w:rPr>
          <w:rStyle w:val="normaltextrun"/>
          <w:rFonts w:ascii="Calibri" w:hAnsi="Calibri" w:cs="Calibri"/>
          <w:b/>
          <w:bCs/>
          <w:color w:val="3E3E3E"/>
          <w:sz w:val="20"/>
          <w:szCs w:val="20"/>
        </w:rPr>
        <w:t>P</w:t>
      </w:r>
      <w:r w:rsidRPr="004612D7">
        <w:rPr>
          <w:rStyle w:val="normaltextrun"/>
          <w:rFonts w:ascii="Calibri" w:hAnsi="Calibri" w:cs="Calibri"/>
          <w:color w:val="3E3E3E"/>
          <w:sz w:val="20"/>
          <w:szCs w:val="20"/>
        </w:rPr>
        <w:t>reparedness </w:t>
      </w:r>
      <w:r w:rsidRPr="004612D7">
        <w:rPr>
          <w:rStyle w:val="normaltextrun"/>
          <w:rFonts w:ascii="Calibri" w:hAnsi="Calibri" w:cs="Calibri"/>
          <w:b/>
          <w:bCs/>
          <w:color w:val="3E3E3E"/>
          <w:sz w:val="20"/>
          <w:szCs w:val="20"/>
        </w:rPr>
        <w:t>D</w:t>
      </w:r>
      <w:r w:rsidRPr="004612D7">
        <w:rPr>
          <w:rStyle w:val="normaltextrun"/>
          <w:rFonts w:ascii="Calibri" w:hAnsi="Calibri" w:cs="Calibri"/>
          <w:color w:val="3E3E3E"/>
          <w:sz w:val="20"/>
          <w:szCs w:val="20"/>
        </w:rPr>
        <w:t>epartment</w:t>
      </w:r>
    </w:p>
    <w:p w14:paraId="7CE436B6" w14:textId="1ACC72D2" w:rsidR="00812356" w:rsidRDefault="00812356" w:rsidP="00812356">
      <w:pPr>
        <w:pStyle w:val="paragraph"/>
        <w:spacing w:before="0" w:beforeAutospacing="0" w:after="0" w:afterAutospacing="0"/>
        <w:ind w:left="24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3E489795" wp14:editId="41349F34">
            <wp:extent cx="5943600" cy="27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7305"/>
                    </a:xfrm>
                    <a:prstGeom prst="rect">
                      <a:avLst/>
                    </a:prstGeom>
                    <a:noFill/>
                    <a:ln>
                      <a:noFill/>
                    </a:ln>
                  </pic:spPr>
                </pic:pic>
              </a:graphicData>
            </a:graphic>
          </wp:inline>
        </w:drawing>
      </w:r>
      <w:r>
        <w:rPr>
          <w:rStyle w:val="eop"/>
          <w:rFonts w:ascii="Calibri" w:hAnsi="Calibri" w:cs="Calibri"/>
          <w:sz w:val="2"/>
          <w:szCs w:val="2"/>
        </w:rPr>
        <w:t> </w:t>
      </w:r>
    </w:p>
    <w:p w14:paraId="5A13E1FF" w14:textId="77777777" w:rsidR="00812356" w:rsidRDefault="00812356" w:rsidP="008123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9"/>
          <w:szCs w:val="19"/>
        </w:rPr>
        <w:t> </w:t>
      </w:r>
    </w:p>
    <w:p w14:paraId="5E08EFC2" w14:textId="757CB3D1" w:rsidR="00812356" w:rsidRPr="00154254" w:rsidRDefault="00154254" w:rsidP="00154254">
      <w:pPr>
        <w:spacing w:after="0"/>
        <w:jc w:val="center"/>
        <w:rPr>
          <w:b/>
          <w:bCs/>
          <w:sz w:val="28"/>
          <w:szCs w:val="28"/>
        </w:rPr>
      </w:pPr>
      <w:r w:rsidRPr="00154254">
        <w:rPr>
          <w:b/>
          <w:bCs/>
          <w:sz w:val="28"/>
          <w:szCs w:val="28"/>
        </w:rPr>
        <w:t>Emergency Operations Center</w:t>
      </w:r>
      <w:r w:rsidR="00812356" w:rsidRPr="00154254">
        <w:rPr>
          <w:b/>
          <w:bCs/>
          <w:sz w:val="28"/>
          <w:szCs w:val="28"/>
        </w:rPr>
        <w:t xml:space="preserve"> Handbook </w:t>
      </w:r>
      <w:r w:rsidRPr="00154254">
        <w:rPr>
          <w:b/>
          <w:bCs/>
          <w:sz w:val="28"/>
          <w:szCs w:val="28"/>
        </w:rPr>
        <w:t xml:space="preserve">Virtual </w:t>
      </w:r>
      <w:r w:rsidR="00812356" w:rsidRPr="00154254">
        <w:rPr>
          <w:b/>
          <w:bCs/>
          <w:sz w:val="28"/>
          <w:szCs w:val="28"/>
        </w:rPr>
        <w:t xml:space="preserve">Rollout </w:t>
      </w:r>
    </w:p>
    <w:p w14:paraId="5FB61E94" w14:textId="67D7B638" w:rsidR="00154254" w:rsidRPr="00154254" w:rsidRDefault="00812356" w:rsidP="00154254">
      <w:pPr>
        <w:spacing w:after="0"/>
        <w:jc w:val="center"/>
        <w:rPr>
          <w:sz w:val="28"/>
          <w:szCs w:val="28"/>
        </w:rPr>
      </w:pPr>
      <w:r w:rsidRPr="00154254">
        <w:rPr>
          <w:sz w:val="28"/>
          <w:szCs w:val="28"/>
        </w:rPr>
        <w:t xml:space="preserve">December 16, 2020 </w:t>
      </w:r>
    </w:p>
    <w:p w14:paraId="6EA9D1B5" w14:textId="59767595" w:rsidR="00812356" w:rsidRPr="00154254" w:rsidRDefault="00812356" w:rsidP="00154254">
      <w:pPr>
        <w:spacing w:after="0"/>
        <w:jc w:val="center"/>
        <w:rPr>
          <w:sz w:val="28"/>
          <w:szCs w:val="28"/>
        </w:rPr>
      </w:pPr>
      <w:r w:rsidRPr="00154254">
        <w:rPr>
          <w:sz w:val="28"/>
          <w:szCs w:val="28"/>
        </w:rPr>
        <w:t>1:00 PM – 2:30 PM</w:t>
      </w:r>
    </w:p>
    <w:p w14:paraId="3089BCE8" w14:textId="2A1FB033" w:rsidR="00154254" w:rsidRPr="00154254" w:rsidRDefault="00154254" w:rsidP="00154254">
      <w:pPr>
        <w:spacing w:after="0"/>
        <w:jc w:val="center"/>
        <w:rPr>
          <w:sz w:val="28"/>
          <w:szCs w:val="28"/>
        </w:rPr>
      </w:pPr>
      <w:r w:rsidRPr="00154254">
        <w:rPr>
          <w:sz w:val="28"/>
          <w:szCs w:val="28"/>
        </w:rPr>
        <w:t>Zoom</w:t>
      </w:r>
      <w:r>
        <w:rPr>
          <w:sz w:val="28"/>
          <w:szCs w:val="28"/>
        </w:rPr>
        <w:t xml:space="preserve"> Webinar</w:t>
      </w:r>
    </w:p>
    <w:p w14:paraId="303863D2" w14:textId="17460F38" w:rsidR="00154254" w:rsidRDefault="00154254" w:rsidP="00154254">
      <w:pPr>
        <w:spacing w:after="0"/>
        <w:jc w:val="center"/>
      </w:pPr>
    </w:p>
    <w:p w14:paraId="75C2917C" w14:textId="3BE6C511" w:rsidR="00154254" w:rsidRDefault="004E048B" w:rsidP="00154254">
      <w:pPr>
        <w:spacing w:after="0"/>
      </w:pPr>
      <w:r>
        <w:t xml:space="preserve">A subcommittee </w:t>
      </w:r>
      <w:r>
        <w:t>of the Emergency Management Working Group</w:t>
      </w:r>
      <w:r>
        <w:t xml:space="preserve"> worked with a contractor, </w:t>
      </w:r>
      <w:r w:rsidR="00154254">
        <w:t>Innovated Emergency Management</w:t>
      </w:r>
      <w:r>
        <w:t xml:space="preserve"> (IEM),</w:t>
      </w:r>
      <w:r w:rsidR="00154254">
        <w:t xml:space="preserve"> to create three Emergency Operations Center (EOC) handbooks for the region. These were presented to the region via a Zoom Webinar on December 16, 2020</w:t>
      </w:r>
      <w:r>
        <w:t xml:space="preserve"> as well as placed on the </w:t>
      </w:r>
      <w:hyperlink r:id="rId10" w:history="1">
        <w:r w:rsidRPr="004E048B">
          <w:rPr>
            <w:rStyle w:val="Hyperlink"/>
          </w:rPr>
          <w:t>Emergency Preparedness Website</w:t>
        </w:r>
      </w:hyperlink>
      <w:r>
        <w:t xml:space="preserve">. </w:t>
      </w:r>
    </w:p>
    <w:p w14:paraId="4273F072" w14:textId="1F22F538" w:rsidR="00154254" w:rsidRDefault="00154254" w:rsidP="00154254">
      <w:pPr>
        <w:spacing w:after="0"/>
      </w:pPr>
    </w:p>
    <w:p w14:paraId="1B26293B" w14:textId="144EE499" w:rsidR="004E048B" w:rsidRDefault="004E048B" w:rsidP="00154254">
      <w:pPr>
        <w:spacing w:after="0"/>
      </w:pPr>
      <w:r>
        <w:t xml:space="preserve">There were 120 attendees present during the presentation. </w:t>
      </w:r>
    </w:p>
    <w:p w14:paraId="31A47642" w14:textId="77777777" w:rsidR="004E048B" w:rsidRDefault="004E048B" w:rsidP="00154254">
      <w:pPr>
        <w:spacing w:after="0"/>
      </w:pPr>
    </w:p>
    <w:p w14:paraId="3888B63D" w14:textId="4CD8CD70" w:rsidR="00154254" w:rsidRDefault="00154254" w:rsidP="00154254">
      <w:pPr>
        <w:spacing w:after="0"/>
      </w:pPr>
      <w:r>
        <w:t xml:space="preserve">The three handbooks </w:t>
      </w:r>
      <w:r w:rsidR="004E048B">
        <w:t>were presented by the following people.</w:t>
      </w:r>
      <w:r>
        <w:t xml:space="preserve"> </w:t>
      </w:r>
    </w:p>
    <w:p w14:paraId="4A045BAF" w14:textId="77777777" w:rsidR="004E048B" w:rsidRDefault="004E048B" w:rsidP="00154254">
      <w:pPr>
        <w:spacing w:after="0"/>
      </w:pPr>
    </w:p>
    <w:p w14:paraId="0DA3126C" w14:textId="5B6843F8" w:rsidR="004E048B" w:rsidRPr="004E048B" w:rsidRDefault="004E048B" w:rsidP="00154254">
      <w:pPr>
        <w:spacing w:after="0"/>
        <w:rPr>
          <w:u w:val="single"/>
        </w:rPr>
      </w:pPr>
      <w:r w:rsidRPr="004E048B">
        <w:rPr>
          <w:u w:val="single"/>
        </w:rPr>
        <w:t>Incident Command System (ICS / ICS-like Handbook)</w:t>
      </w:r>
    </w:p>
    <w:p w14:paraId="24510042" w14:textId="549B0DAB" w:rsidR="004E048B" w:rsidRPr="004E048B" w:rsidRDefault="004E048B" w:rsidP="004E048B">
      <w:pPr>
        <w:spacing w:after="0"/>
        <w:rPr>
          <w:color w:val="201F1E"/>
        </w:rPr>
      </w:pPr>
      <w:r w:rsidRPr="004E048B">
        <w:t xml:space="preserve">T.J. Manor </w:t>
      </w:r>
    </w:p>
    <w:p w14:paraId="5283A89C" w14:textId="77777777" w:rsidR="004E048B" w:rsidRDefault="004E048B" w:rsidP="004E048B">
      <w:pPr>
        <w:spacing w:after="0"/>
        <w:rPr>
          <w:color w:val="201F1E"/>
        </w:rPr>
      </w:pPr>
      <w:r w:rsidRPr="00E06F6D">
        <w:rPr>
          <w:color w:val="201F1E"/>
        </w:rPr>
        <w:t>Emergency Management Coordinator</w:t>
      </w:r>
    </w:p>
    <w:p w14:paraId="1FE85133" w14:textId="77777777" w:rsidR="004E048B" w:rsidRPr="00E06F6D" w:rsidRDefault="004E048B" w:rsidP="004E048B">
      <w:pPr>
        <w:spacing w:after="0"/>
        <w:rPr>
          <w:color w:val="201F1E"/>
        </w:rPr>
      </w:pPr>
      <w:r w:rsidRPr="00E06F6D">
        <w:rPr>
          <w:color w:val="201F1E"/>
        </w:rPr>
        <w:t>Office of Emergency Management</w:t>
      </w:r>
    </w:p>
    <w:p w14:paraId="2E7FD3EA" w14:textId="77777777" w:rsidR="004E048B" w:rsidRPr="00E06F6D" w:rsidRDefault="004E048B" w:rsidP="004E048B">
      <w:pPr>
        <w:pStyle w:val="NormalWeb"/>
        <w:spacing w:before="0" w:beforeAutospacing="0" w:after="0" w:afterAutospacing="0"/>
        <w:contextualSpacing/>
        <w:rPr>
          <w:color w:val="201F1E"/>
        </w:rPr>
      </w:pPr>
      <w:r w:rsidRPr="00E06F6D">
        <w:rPr>
          <w:color w:val="201F1E"/>
        </w:rPr>
        <w:t>Fire Department, City of Arlington</w:t>
      </w:r>
    </w:p>
    <w:p w14:paraId="78F18F4C" w14:textId="77777777" w:rsidR="004E048B" w:rsidRDefault="004E048B" w:rsidP="004E048B">
      <w:pPr>
        <w:pStyle w:val="NormalWeb"/>
        <w:spacing w:before="0" w:beforeAutospacing="0" w:after="0" w:afterAutospacing="0"/>
        <w:contextualSpacing/>
        <w:rPr>
          <w:color w:val="201F1E"/>
        </w:rPr>
      </w:pPr>
      <w:r>
        <w:rPr>
          <w:color w:val="201F1E"/>
        </w:rPr>
        <w:t xml:space="preserve">Office: </w:t>
      </w:r>
      <w:r w:rsidRPr="00E06F6D">
        <w:rPr>
          <w:color w:val="201F1E"/>
        </w:rPr>
        <w:t>817.459.6942</w:t>
      </w:r>
    </w:p>
    <w:p w14:paraId="661347E6" w14:textId="77777777" w:rsidR="004E048B" w:rsidRPr="00E06F6D" w:rsidRDefault="004E048B" w:rsidP="004E048B">
      <w:pPr>
        <w:pStyle w:val="NormalWeb"/>
        <w:spacing w:before="0" w:beforeAutospacing="0" w:after="0" w:afterAutospacing="0"/>
        <w:contextualSpacing/>
        <w:rPr>
          <w:color w:val="201F1E"/>
        </w:rPr>
      </w:pPr>
      <w:hyperlink r:id="rId11" w:history="1">
        <w:r w:rsidRPr="00E06F6D">
          <w:rPr>
            <w:rStyle w:val="Hyperlink"/>
          </w:rPr>
          <w:t>TJ.Manor@arlingtontx.gov</w:t>
        </w:r>
      </w:hyperlink>
    </w:p>
    <w:p w14:paraId="0CBA34F9" w14:textId="77777777" w:rsidR="004E048B" w:rsidRPr="00E06F6D" w:rsidRDefault="004E048B" w:rsidP="004E048B">
      <w:pPr>
        <w:ind w:left="72"/>
        <w:contextualSpacing/>
      </w:pPr>
    </w:p>
    <w:p w14:paraId="7C73886E" w14:textId="39C795A7" w:rsidR="004E048B" w:rsidRPr="004E048B" w:rsidRDefault="004E048B" w:rsidP="004E048B">
      <w:pPr>
        <w:spacing w:after="0"/>
        <w:rPr>
          <w:u w:val="single"/>
        </w:rPr>
      </w:pPr>
      <w:r w:rsidRPr="004E048B">
        <w:rPr>
          <w:u w:val="single"/>
        </w:rPr>
        <w:t>Departmental Handbook</w:t>
      </w:r>
    </w:p>
    <w:p w14:paraId="5E8EF5F1" w14:textId="4E211EA8" w:rsidR="004E048B" w:rsidRPr="004E048B" w:rsidRDefault="004E048B" w:rsidP="004E048B">
      <w:pPr>
        <w:spacing w:after="0"/>
      </w:pPr>
      <w:r w:rsidRPr="004E048B">
        <w:t xml:space="preserve">Larry Houck </w:t>
      </w:r>
    </w:p>
    <w:p w14:paraId="2D7E1550" w14:textId="77777777" w:rsidR="004E048B" w:rsidRPr="00E06F6D" w:rsidRDefault="004E048B" w:rsidP="004E048B">
      <w:pPr>
        <w:pStyle w:val="NormalWeb"/>
        <w:spacing w:before="0" w:beforeAutospacing="0" w:after="0" w:afterAutospacing="0"/>
        <w:contextualSpacing/>
        <w:rPr>
          <w:color w:val="201F1E"/>
        </w:rPr>
      </w:pPr>
      <w:r w:rsidRPr="00E06F6D">
        <w:rPr>
          <w:color w:val="201F1E"/>
        </w:rPr>
        <w:t xml:space="preserve">Sr. Emergency Management Specialist </w:t>
      </w:r>
    </w:p>
    <w:p w14:paraId="59047414" w14:textId="77777777" w:rsidR="004E048B" w:rsidRPr="00E06F6D" w:rsidRDefault="004E048B" w:rsidP="004E048B">
      <w:pPr>
        <w:pStyle w:val="NormalWeb"/>
        <w:spacing w:before="0" w:beforeAutospacing="0" w:after="0" w:afterAutospacing="0"/>
        <w:contextualSpacing/>
        <w:rPr>
          <w:color w:val="201F1E"/>
        </w:rPr>
      </w:pPr>
      <w:r>
        <w:rPr>
          <w:color w:val="201F1E"/>
        </w:rPr>
        <w:t>City of Plano</w:t>
      </w:r>
    </w:p>
    <w:p w14:paraId="1AE61130" w14:textId="77777777" w:rsidR="004E048B" w:rsidRPr="00E06F6D" w:rsidRDefault="004E048B" w:rsidP="004E048B">
      <w:pPr>
        <w:pStyle w:val="NormalWeb"/>
        <w:spacing w:before="0" w:beforeAutospacing="0" w:after="0" w:afterAutospacing="0"/>
        <w:contextualSpacing/>
        <w:rPr>
          <w:color w:val="201F1E"/>
        </w:rPr>
      </w:pPr>
      <w:r>
        <w:rPr>
          <w:color w:val="201F1E"/>
        </w:rPr>
        <w:t xml:space="preserve">Office: </w:t>
      </w:r>
      <w:r w:rsidRPr="00E06F6D">
        <w:rPr>
          <w:color w:val="201F1E"/>
        </w:rPr>
        <w:t>972.769.4821</w:t>
      </w:r>
    </w:p>
    <w:p w14:paraId="072E23D3" w14:textId="77777777" w:rsidR="004E048B" w:rsidRPr="00E06F6D" w:rsidRDefault="004E048B" w:rsidP="004E048B">
      <w:pPr>
        <w:pStyle w:val="NormalWeb"/>
        <w:spacing w:before="0" w:beforeAutospacing="0" w:after="0" w:afterAutospacing="0"/>
        <w:contextualSpacing/>
        <w:rPr>
          <w:color w:val="201F1E"/>
        </w:rPr>
      </w:pPr>
      <w:hyperlink r:id="rId12" w:history="1">
        <w:r w:rsidRPr="00E06F6D">
          <w:rPr>
            <w:rStyle w:val="Hyperlink"/>
          </w:rPr>
          <w:t>Larryh@plano.gov</w:t>
        </w:r>
      </w:hyperlink>
    </w:p>
    <w:p w14:paraId="6AD99B09" w14:textId="77777777" w:rsidR="004E048B" w:rsidRDefault="004E048B" w:rsidP="004E048B">
      <w:pPr>
        <w:pStyle w:val="NormalWeb"/>
        <w:spacing w:before="0" w:beforeAutospacing="0" w:after="0" w:afterAutospacing="0"/>
        <w:contextualSpacing/>
      </w:pPr>
    </w:p>
    <w:p w14:paraId="102110C6" w14:textId="3F961592" w:rsidR="004E048B" w:rsidRPr="004E048B" w:rsidRDefault="004E048B" w:rsidP="004E048B">
      <w:pPr>
        <w:pStyle w:val="NormalWeb"/>
        <w:spacing w:before="0" w:beforeAutospacing="0" w:after="0" w:afterAutospacing="0"/>
        <w:contextualSpacing/>
        <w:rPr>
          <w:color w:val="000000"/>
          <w:u w:val="single"/>
        </w:rPr>
      </w:pPr>
      <w:r w:rsidRPr="004E048B">
        <w:rPr>
          <w:u w:val="single"/>
        </w:rPr>
        <w:t>ISM Handbook</w:t>
      </w:r>
    </w:p>
    <w:p w14:paraId="5F8D3B78" w14:textId="7836B123" w:rsidR="004E048B" w:rsidRPr="004E048B" w:rsidRDefault="004E048B" w:rsidP="004E048B">
      <w:pPr>
        <w:spacing w:after="0"/>
      </w:pPr>
      <w:r w:rsidRPr="004E048B">
        <w:t>Eric Hutmacher</w:t>
      </w:r>
    </w:p>
    <w:p w14:paraId="482F45A2" w14:textId="77777777" w:rsidR="004E048B" w:rsidRPr="00E06F6D" w:rsidRDefault="004E048B" w:rsidP="004E048B">
      <w:pPr>
        <w:pStyle w:val="NormalWeb"/>
        <w:spacing w:before="0" w:beforeAutospacing="0" w:after="0" w:afterAutospacing="0"/>
        <w:contextualSpacing/>
        <w:rPr>
          <w:color w:val="201F1E"/>
        </w:rPr>
      </w:pPr>
      <w:r w:rsidRPr="00E06F6D">
        <w:rPr>
          <w:color w:val="201F1E"/>
        </w:rPr>
        <w:t>EM Officer II</w:t>
      </w:r>
    </w:p>
    <w:p w14:paraId="588F25ED" w14:textId="77777777" w:rsidR="004E048B" w:rsidRPr="00E06F6D" w:rsidRDefault="004E048B" w:rsidP="004E048B">
      <w:pPr>
        <w:pStyle w:val="NormalWeb"/>
        <w:spacing w:before="0" w:beforeAutospacing="0" w:after="0" w:afterAutospacing="0"/>
        <w:contextualSpacing/>
        <w:rPr>
          <w:color w:val="201F1E"/>
        </w:rPr>
      </w:pPr>
      <w:r w:rsidRPr="00E06F6D">
        <w:rPr>
          <w:color w:val="201F1E"/>
        </w:rPr>
        <w:t>Denton County Emergency Services</w:t>
      </w:r>
    </w:p>
    <w:p w14:paraId="06AED948" w14:textId="77777777" w:rsidR="004E048B" w:rsidRPr="00E06F6D" w:rsidRDefault="004E048B" w:rsidP="004E048B">
      <w:pPr>
        <w:pStyle w:val="NormalWeb"/>
        <w:spacing w:before="0" w:beforeAutospacing="0" w:after="0" w:afterAutospacing="0"/>
        <w:contextualSpacing/>
        <w:rPr>
          <w:color w:val="201F1E"/>
        </w:rPr>
      </w:pPr>
      <w:r w:rsidRPr="00E06F6D">
        <w:rPr>
          <w:color w:val="201F1E"/>
        </w:rPr>
        <w:t>Office: 940-349-2868</w:t>
      </w:r>
    </w:p>
    <w:p w14:paraId="7CD24D02" w14:textId="77777777" w:rsidR="004E048B" w:rsidRPr="00E06F6D" w:rsidRDefault="004E048B" w:rsidP="004E048B">
      <w:pPr>
        <w:pStyle w:val="NormalWeb"/>
        <w:spacing w:before="0" w:beforeAutospacing="0" w:after="0" w:afterAutospacing="0"/>
        <w:contextualSpacing/>
      </w:pPr>
      <w:hyperlink r:id="rId13" w:history="1">
        <w:r w:rsidRPr="00E06F6D">
          <w:rPr>
            <w:rStyle w:val="Hyperlink"/>
          </w:rPr>
          <w:t>Eric.Hutmacher@dentoncounty.gov</w:t>
        </w:r>
      </w:hyperlink>
    </w:p>
    <w:p w14:paraId="43B9687B" w14:textId="3AEA1744" w:rsidR="004E048B" w:rsidRDefault="004E048B" w:rsidP="00154254">
      <w:pPr>
        <w:spacing w:after="0"/>
      </w:pPr>
    </w:p>
    <w:p w14:paraId="418B6AB6" w14:textId="008A6961" w:rsidR="004E048B" w:rsidRDefault="004E048B" w:rsidP="00154254">
      <w:pPr>
        <w:spacing w:after="0"/>
      </w:pPr>
    </w:p>
    <w:p w14:paraId="68EE7077" w14:textId="1E5D6D4F" w:rsidR="004E048B" w:rsidRDefault="004E048B" w:rsidP="00154254">
      <w:pPr>
        <w:spacing w:after="0"/>
      </w:pPr>
    </w:p>
    <w:p w14:paraId="01372EA5" w14:textId="3D05133C" w:rsidR="004E048B" w:rsidRDefault="004E048B" w:rsidP="00154254">
      <w:pPr>
        <w:spacing w:after="0"/>
      </w:pPr>
    </w:p>
    <w:p w14:paraId="06BFAD7B" w14:textId="026F0DF8" w:rsidR="004E048B" w:rsidRDefault="004E048B" w:rsidP="00154254">
      <w:pPr>
        <w:spacing w:after="0"/>
      </w:pPr>
    </w:p>
    <w:p w14:paraId="7977A51A" w14:textId="7E05D79F" w:rsidR="004E048B" w:rsidRDefault="004E048B" w:rsidP="00154254">
      <w:pPr>
        <w:spacing w:after="0"/>
      </w:pPr>
    </w:p>
    <w:p w14:paraId="412DE560" w14:textId="1A15A92F" w:rsidR="004E048B" w:rsidRDefault="004E048B" w:rsidP="00154254">
      <w:pPr>
        <w:spacing w:after="0"/>
      </w:pPr>
      <w:r>
        <w:lastRenderedPageBreak/>
        <w:t>Notes:</w:t>
      </w:r>
    </w:p>
    <w:p w14:paraId="76F92E43" w14:textId="4A794F57" w:rsidR="00EB3F31" w:rsidRDefault="00EB3F31" w:rsidP="00EB3F31">
      <w:pPr>
        <w:pStyle w:val="ListParagraph"/>
        <w:numPr>
          <w:ilvl w:val="0"/>
          <w:numId w:val="1"/>
        </w:numPr>
      </w:pPr>
      <w:r>
        <w:t>Concern was raised regarding the ability to speak and ask questions verbally during the meeting</w:t>
      </w:r>
    </w:p>
    <w:p w14:paraId="2AE5879C" w14:textId="5F71FAC2" w:rsidR="00EB3F31" w:rsidRDefault="00EB3F31" w:rsidP="00EB3F31">
      <w:pPr>
        <w:pStyle w:val="ListParagraph"/>
        <w:numPr>
          <w:ilvl w:val="1"/>
          <w:numId w:val="1"/>
        </w:numPr>
      </w:pPr>
      <w:r>
        <w:t>Attendees were notified they will have the ability to ask questions via the Q&amp;A portion of the meeting. Any questions unanswered will be answered at the end of the meeting.</w:t>
      </w:r>
    </w:p>
    <w:p w14:paraId="32ADD4A5" w14:textId="2BFD7A64" w:rsidR="00EB3F31" w:rsidRDefault="00EB3F31" w:rsidP="00EB3F31">
      <w:pPr>
        <w:pStyle w:val="ListParagraph"/>
        <w:numPr>
          <w:ilvl w:val="0"/>
          <w:numId w:val="1"/>
        </w:numPr>
      </w:pPr>
      <w:r>
        <w:t>TJ Manor began the meeting with an introduction of how the project came to be and the thought process and deliverables created from the project.</w:t>
      </w:r>
    </w:p>
    <w:p w14:paraId="4B432142" w14:textId="3EFDB71C" w:rsidR="00EB3F31" w:rsidRDefault="00483259" w:rsidP="00EB3F31">
      <w:pPr>
        <w:pStyle w:val="ListParagraph"/>
        <w:numPr>
          <w:ilvl w:val="0"/>
          <w:numId w:val="1"/>
        </w:numPr>
      </w:pPr>
      <w:r>
        <w:t xml:space="preserve">Eric Hutmacher discussed the inclusion of Community Lifelines </w:t>
      </w:r>
      <w:r w:rsidR="002D3E9A">
        <w:t>in the handbook.</w:t>
      </w:r>
    </w:p>
    <w:p w14:paraId="2666801F" w14:textId="65665053" w:rsidR="0046193C" w:rsidRDefault="0046193C" w:rsidP="00EB3F31">
      <w:pPr>
        <w:pStyle w:val="ListParagraph"/>
        <w:numPr>
          <w:ilvl w:val="0"/>
          <w:numId w:val="1"/>
        </w:numPr>
      </w:pPr>
      <w:r>
        <w:t>Larry Houck began his presentation</w:t>
      </w:r>
      <w:r w:rsidR="000E4C0C">
        <w:t xml:space="preserve"> covering department EOC handbooks. </w:t>
      </w:r>
    </w:p>
    <w:p w14:paraId="7245477E" w14:textId="77777777" w:rsidR="004E048B" w:rsidRDefault="004E048B" w:rsidP="00EB3F31"/>
    <w:p w14:paraId="1BADD1A6" w14:textId="4C08377B" w:rsidR="00EB3F31" w:rsidRDefault="00EB3F31" w:rsidP="00EB3F31">
      <w:r>
        <w:t>Questions:</w:t>
      </w:r>
    </w:p>
    <w:p w14:paraId="4B6C8CE2" w14:textId="1AD1A26A" w:rsidR="00EB3F31" w:rsidRDefault="00483259" w:rsidP="00EB3F31">
      <w:pPr>
        <w:pStyle w:val="ListParagraph"/>
        <w:numPr>
          <w:ilvl w:val="0"/>
          <w:numId w:val="2"/>
        </w:numPr>
      </w:pPr>
      <w:r>
        <w:t xml:space="preserve">Is it safe to say these documents were created focused on </w:t>
      </w:r>
      <w:r w:rsidR="000E4C0C">
        <w:t>the what</w:t>
      </w:r>
      <w:r>
        <w:t xml:space="preserve"> not </w:t>
      </w:r>
      <w:r w:rsidR="000E4C0C">
        <w:t xml:space="preserve">the </w:t>
      </w:r>
      <w:r>
        <w:t>how of EOC operations?</w:t>
      </w:r>
    </w:p>
    <w:p w14:paraId="614C78FC" w14:textId="0A13C7AE" w:rsidR="0046193C" w:rsidRDefault="0046193C" w:rsidP="0046193C">
      <w:pPr>
        <w:pStyle w:val="ListParagraph"/>
        <w:numPr>
          <w:ilvl w:val="1"/>
          <w:numId w:val="2"/>
        </w:numPr>
      </w:pPr>
      <w:r>
        <w:t xml:space="preserve">Yes. </w:t>
      </w:r>
      <w:r w:rsidR="000E4C0C">
        <w:t>We w</w:t>
      </w:r>
      <w:r>
        <w:t xml:space="preserve">anted to get away from </w:t>
      </w:r>
      <w:r w:rsidR="000E4C0C">
        <w:t>instructions on ho</w:t>
      </w:r>
      <w:r>
        <w:t>w to run your EOC and ensure you have a checklist to verify the process.</w:t>
      </w:r>
    </w:p>
    <w:p w14:paraId="56290AC3" w14:textId="40FD7A94" w:rsidR="00483259" w:rsidRDefault="008B00DC" w:rsidP="002D3E9A">
      <w:pPr>
        <w:pStyle w:val="ListParagraph"/>
        <w:numPr>
          <w:ilvl w:val="0"/>
          <w:numId w:val="2"/>
        </w:numPr>
      </w:pPr>
      <w:r>
        <w:t xml:space="preserve">Organization </w:t>
      </w:r>
      <w:r w:rsidR="002D3E9A">
        <w:t xml:space="preserve">Chart has EOC Director. Is that the Judge or Mayor or the EMC/EOC Manager? Should we have EMC or EOC Manager in the </w:t>
      </w:r>
      <w:r>
        <w:t>Organization</w:t>
      </w:r>
      <w:r w:rsidR="002D3E9A">
        <w:t xml:space="preserve"> Chart?</w:t>
      </w:r>
    </w:p>
    <w:p w14:paraId="032A62F8" w14:textId="2DB5B65F" w:rsidR="0046193C" w:rsidRDefault="0046193C" w:rsidP="0046193C">
      <w:pPr>
        <w:pStyle w:val="ListParagraph"/>
        <w:numPr>
          <w:ilvl w:val="1"/>
          <w:numId w:val="2"/>
        </w:numPr>
      </w:pPr>
      <w:r>
        <w:t xml:space="preserve">It is intended that the EOC manager can be whomever you choose. It is intended your judge or mayor will be included in managing </w:t>
      </w:r>
      <w:r w:rsidR="008B00DC">
        <w:t>policy/</w:t>
      </w:r>
      <w:r>
        <w:t>judiciary decisions. This is primarily built for the support function of EOC Managers and not response to the incident.</w:t>
      </w:r>
    </w:p>
    <w:p w14:paraId="2F222E5C" w14:textId="304EA83F" w:rsidR="008B00DC" w:rsidRDefault="008B00DC" w:rsidP="0046193C">
      <w:pPr>
        <w:pStyle w:val="ListParagraph"/>
        <w:numPr>
          <w:ilvl w:val="1"/>
          <w:numId w:val="2"/>
        </w:numPr>
      </w:pPr>
      <w:r>
        <w:t>EOC Director is going to be an EM professional that is managing the process.</w:t>
      </w:r>
    </w:p>
    <w:p w14:paraId="150F1B81" w14:textId="6D635B20" w:rsidR="0046193C" w:rsidRDefault="0046193C" w:rsidP="002D3E9A">
      <w:pPr>
        <w:pStyle w:val="ListParagraph"/>
        <w:numPr>
          <w:ilvl w:val="0"/>
          <w:numId w:val="2"/>
        </w:numPr>
      </w:pPr>
      <w:r>
        <w:t>Why is the Safety function left out of the Command Structure?</w:t>
      </w:r>
    </w:p>
    <w:p w14:paraId="17ABC70D" w14:textId="521ED697" w:rsidR="0046193C" w:rsidRDefault="008B00DC" w:rsidP="0046193C">
      <w:pPr>
        <w:pStyle w:val="ListParagraph"/>
        <w:numPr>
          <w:ilvl w:val="1"/>
          <w:numId w:val="2"/>
        </w:numPr>
      </w:pPr>
      <w:r>
        <w:t>It c</w:t>
      </w:r>
      <w:r w:rsidR="0046193C">
        <w:t xml:space="preserve">an be </w:t>
      </w:r>
      <w:r>
        <w:t>included;</w:t>
      </w:r>
      <w:r w:rsidR="0046193C">
        <w:t xml:space="preserve"> </w:t>
      </w:r>
      <w:r>
        <w:t>however,</w:t>
      </w:r>
      <w:r w:rsidR="0046193C">
        <w:t xml:space="preserve"> this is focused on support and not response to incidents.</w:t>
      </w:r>
      <w:r>
        <w:t xml:space="preserve"> We wanted to make sure that the direct responding EOC would be the ones to call the shots and make the best safety protocols. </w:t>
      </w:r>
    </w:p>
    <w:p w14:paraId="02F653E9" w14:textId="4D8AB52B" w:rsidR="0046193C" w:rsidRDefault="0046193C" w:rsidP="0046193C">
      <w:pPr>
        <w:pStyle w:val="ListParagraph"/>
        <w:numPr>
          <w:ilvl w:val="0"/>
          <w:numId w:val="2"/>
        </w:numPr>
      </w:pPr>
      <w:r>
        <w:t>Is the Departmental format just for cities. I am not seeing terminology that would indicate a County style.</w:t>
      </w:r>
      <w:r w:rsidR="008E510C">
        <w:t xml:space="preserve"> Counties have road and bridge crews and not public works.</w:t>
      </w:r>
    </w:p>
    <w:p w14:paraId="654E384A" w14:textId="1BFD466A" w:rsidR="00117D3C" w:rsidRDefault="00117D3C" w:rsidP="00117D3C">
      <w:pPr>
        <w:pStyle w:val="ListParagraph"/>
        <w:numPr>
          <w:ilvl w:val="1"/>
          <w:numId w:val="2"/>
        </w:numPr>
      </w:pPr>
      <w:r>
        <w:t>T</w:t>
      </w:r>
      <w:r w:rsidR="004E048B">
        <w:t xml:space="preserve">his </w:t>
      </w:r>
      <w:r w:rsidR="00DC6913" w:rsidRPr="00DC6913">
        <w:rPr>
          <w:highlight w:val="yellow"/>
        </w:rPr>
        <w:t>DOC</w:t>
      </w:r>
      <w:r w:rsidR="004E048B">
        <w:t xml:space="preserve"> </w:t>
      </w:r>
      <w:r>
        <w:t xml:space="preserve">is based on </w:t>
      </w:r>
      <w:r w:rsidR="00454931">
        <w:t>larger entities or health departments</w:t>
      </w:r>
      <w:r>
        <w:t xml:space="preserve">, </w:t>
      </w:r>
      <w:r w:rsidR="00454931">
        <w:t xml:space="preserve">it </w:t>
      </w:r>
      <w:r>
        <w:t xml:space="preserve">would need to be tailored for county use. </w:t>
      </w:r>
      <w:r w:rsidR="00454931">
        <w:t>The handbook is tailored for smaller jurisdiction use</w:t>
      </w:r>
    </w:p>
    <w:p w14:paraId="467E22D1" w14:textId="29ABF365" w:rsidR="009077FF" w:rsidRDefault="008E510C" w:rsidP="00117D3C">
      <w:pPr>
        <w:pStyle w:val="ListParagraph"/>
        <w:numPr>
          <w:ilvl w:val="1"/>
          <w:numId w:val="2"/>
        </w:numPr>
      </w:pPr>
      <w:r>
        <w:t xml:space="preserve">The changing of roads and crews from public works would be all that required. Any adjustments to the formatting and/or structure is up to the jurisdiction themselves for </w:t>
      </w:r>
      <w:r w:rsidR="00454931">
        <w:t>its</w:t>
      </w:r>
      <w:r>
        <w:t xml:space="preserve"> implementation in their jurisdiction.</w:t>
      </w:r>
    </w:p>
    <w:p w14:paraId="61378A48" w14:textId="13365082" w:rsidR="008E510C" w:rsidRDefault="008E510C" w:rsidP="00117D3C">
      <w:pPr>
        <w:pStyle w:val="ListParagraph"/>
        <w:numPr>
          <w:ilvl w:val="1"/>
          <w:numId w:val="2"/>
        </w:numPr>
      </w:pPr>
      <w:r>
        <w:t>Utilized three models to create these templates.</w:t>
      </w:r>
    </w:p>
    <w:p w14:paraId="7003A60E" w14:textId="0D927442" w:rsidR="0046193C" w:rsidRDefault="008E510C" w:rsidP="0046193C">
      <w:pPr>
        <w:pStyle w:val="ListParagraph"/>
        <w:numPr>
          <w:ilvl w:val="0"/>
          <w:numId w:val="2"/>
        </w:numPr>
      </w:pPr>
      <w:r>
        <w:t xml:space="preserve">Curious how the </w:t>
      </w:r>
      <w:r w:rsidRPr="00DC6913">
        <w:rPr>
          <w:highlight w:val="yellow"/>
        </w:rPr>
        <w:t>ESF</w:t>
      </w:r>
      <w:r>
        <w:t xml:space="preserve"> functions incorporate into these models since that is now required in </w:t>
      </w:r>
      <w:r w:rsidRPr="00DC6913">
        <w:rPr>
          <w:highlight w:val="yellow"/>
        </w:rPr>
        <w:t>EOP</w:t>
      </w:r>
      <w:r>
        <w:t>?</w:t>
      </w:r>
    </w:p>
    <w:p w14:paraId="4682BF33" w14:textId="160381E3" w:rsidR="008E510C" w:rsidRDefault="008E510C" w:rsidP="008E510C">
      <w:pPr>
        <w:pStyle w:val="ListParagraph"/>
        <w:numPr>
          <w:ilvl w:val="1"/>
          <w:numId w:val="2"/>
        </w:numPr>
      </w:pPr>
      <w:r>
        <w:t xml:space="preserve">The </w:t>
      </w:r>
      <w:r w:rsidRPr="00DC6913">
        <w:rPr>
          <w:highlight w:val="yellow"/>
        </w:rPr>
        <w:t>EOP/IAP</w:t>
      </w:r>
      <w:r>
        <w:t xml:space="preserve"> should not be confused with these checklists. These checklists/templates the enumeration of the responsibility of the positions and not how they should respond.</w:t>
      </w:r>
    </w:p>
    <w:p w14:paraId="719A988C" w14:textId="3787A938" w:rsidR="008E510C" w:rsidRDefault="008E510C" w:rsidP="008E510C">
      <w:pPr>
        <w:pStyle w:val="ListParagraph"/>
        <w:numPr>
          <w:ilvl w:val="1"/>
          <w:numId w:val="2"/>
        </w:numPr>
      </w:pPr>
      <w:r>
        <w:t>This is just the plan, and not necessarily the organization.</w:t>
      </w:r>
    </w:p>
    <w:p w14:paraId="3948ECE5" w14:textId="56C5557A" w:rsidR="008E510C" w:rsidRDefault="008E510C" w:rsidP="0046193C">
      <w:pPr>
        <w:pStyle w:val="ListParagraph"/>
        <w:numPr>
          <w:ilvl w:val="0"/>
          <w:numId w:val="2"/>
        </w:numPr>
      </w:pPr>
      <w:r>
        <w:t>It would be interesting to know how many cities, counties, health departments, and other entities use which models in the area. Also, it would be nice to talk to those who use each model about the pro’s and con’s they have experienced.</w:t>
      </w:r>
    </w:p>
    <w:p w14:paraId="145F303D" w14:textId="243FCE40" w:rsidR="008E510C" w:rsidRDefault="008E510C" w:rsidP="008E510C">
      <w:pPr>
        <w:pStyle w:val="ListParagraph"/>
        <w:numPr>
          <w:ilvl w:val="1"/>
          <w:numId w:val="2"/>
        </w:numPr>
      </w:pPr>
      <w:r>
        <w:t xml:space="preserve">Email can be sent out through </w:t>
      </w:r>
      <w:r w:rsidR="00454931">
        <w:t>listservs</w:t>
      </w:r>
      <w:r>
        <w:t xml:space="preserve"> to garner regional feedback.</w:t>
      </w:r>
    </w:p>
    <w:p w14:paraId="49EE51CF" w14:textId="4726BAAC" w:rsidR="008E510C" w:rsidRDefault="008E510C" w:rsidP="0046193C">
      <w:pPr>
        <w:pStyle w:val="ListParagraph"/>
        <w:numPr>
          <w:ilvl w:val="0"/>
          <w:numId w:val="2"/>
        </w:numPr>
      </w:pPr>
      <w:r>
        <w:t>I would like to see some of these sample EOC Layouts scaled up to support a county with nearly 50 municipalities.</w:t>
      </w:r>
      <w:r w:rsidR="004612D7">
        <w:t xml:space="preserve"> </w:t>
      </w:r>
      <w:r w:rsidR="004612D7" w:rsidRPr="004612D7">
        <w:rPr>
          <w:highlight w:val="yellow"/>
        </w:rPr>
        <w:t>(Do we have this?)</w:t>
      </w:r>
      <w:r w:rsidR="004612D7">
        <w:t xml:space="preserve"> </w:t>
      </w:r>
    </w:p>
    <w:p w14:paraId="39CC341D" w14:textId="69F801EB" w:rsidR="00E06F6D" w:rsidRDefault="00E06F6D" w:rsidP="00E06F6D"/>
    <w:p w14:paraId="4392F969" w14:textId="307F09CE" w:rsidR="00E06F6D" w:rsidRDefault="00E06F6D" w:rsidP="00E06F6D"/>
    <w:sectPr w:rsidR="00E06F6D" w:rsidSect="00154254">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1BAB5" w14:textId="77777777" w:rsidR="003575E6" w:rsidRDefault="003575E6" w:rsidP="00154254">
      <w:pPr>
        <w:spacing w:after="0" w:line="240" w:lineRule="auto"/>
      </w:pPr>
      <w:r>
        <w:separator/>
      </w:r>
    </w:p>
  </w:endnote>
  <w:endnote w:type="continuationSeparator" w:id="0">
    <w:p w14:paraId="5E9DF499" w14:textId="77777777" w:rsidR="003575E6" w:rsidRDefault="003575E6" w:rsidP="00154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19104" w14:textId="77777777" w:rsidR="003575E6" w:rsidRDefault="003575E6" w:rsidP="00154254">
      <w:pPr>
        <w:spacing w:after="0" w:line="240" w:lineRule="auto"/>
      </w:pPr>
      <w:r>
        <w:separator/>
      </w:r>
    </w:p>
  </w:footnote>
  <w:footnote w:type="continuationSeparator" w:id="0">
    <w:p w14:paraId="60FEFFBB" w14:textId="77777777" w:rsidR="003575E6" w:rsidRDefault="003575E6" w:rsidP="00154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C66A43"/>
    <w:multiLevelType w:val="hybridMultilevel"/>
    <w:tmpl w:val="508A49D6"/>
    <w:lvl w:ilvl="0" w:tplc="D86C499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E4421B"/>
    <w:multiLevelType w:val="hybridMultilevel"/>
    <w:tmpl w:val="7826D6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zNDc0sDCyMDQyMDVR0lEKTi0uzszPAykwrAUAAwPYZywAAAA="/>
  </w:docVars>
  <w:rsids>
    <w:rsidRoot w:val="00EB3F31"/>
    <w:rsid w:val="000E4C0C"/>
    <w:rsid w:val="00117D3C"/>
    <w:rsid w:val="00154254"/>
    <w:rsid w:val="002D3E9A"/>
    <w:rsid w:val="003575E6"/>
    <w:rsid w:val="00454931"/>
    <w:rsid w:val="004612D7"/>
    <w:rsid w:val="0046193C"/>
    <w:rsid w:val="00483259"/>
    <w:rsid w:val="004E048B"/>
    <w:rsid w:val="0075455A"/>
    <w:rsid w:val="00812356"/>
    <w:rsid w:val="008A458D"/>
    <w:rsid w:val="008B00DC"/>
    <w:rsid w:val="008E510C"/>
    <w:rsid w:val="009077FF"/>
    <w:rsid w:val="00B36D0D"/>
    <w:rsid w:val="00DC6913"/>
    <w:rsid w:val="00E06F6D"/>
    <w:rsid w:val="00EB3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C8A42"/>
  <w15:chartTrackingRefBased/>
  <w15:docId w15:val="{71C681DF-E065-474D-868D-E89744A8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F31"/>
    <w:pPr>
      <w:ind w:left="720"/>
      <w:contextualSpacing/>
    </w:pPr>
  </w:style>
  <w:style w:type="paragraph" w:customStyle="1" w:styleId="paragraph">
    <w:name w:val="paragraph"/>
    <w:basedOn w:val="Normal"/>
    <w:rsid w:val="008123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12356"/>
  </w:style>
  <w:style w:type="character" w:customStyle="1" w:styleId="normaltextrun">
    <w:name w:val="normaltextrun"/>
    <w:basedOn w:val="DefaultParagraphFont"/>
    <w:rsid w:val="00812356"/>
  </w:style>
  <w:style w:type="character" w:styleId="Hyperlink">
    <w:name w:val="Hyperlink"/>
    <w:basedOn w:val="DefaultParagraphFont"/>
    <w:uiPriority w:val="99"/>
    <w:unhideWhenUsed/>
    <w:rsid w:val="00E06F6D"/>
    <w:rPr>
      <w:color w:val="0563C1"/>
      <w:u w:val="single"/>
    </w:rPr>
  </w:style>
  <w:style w:type="paragraph" w:styleId="NormalWeb">
    <w:name w:val="Normal (Web)"/>
    <w:basedOn w:val="Normal"/>
    <w:uiPriority w:val="99"/>
    <w:semiHidden/>
    <w:unhideWhenUsed/>
    <w:rsid w:val="00E06F6D"/>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154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254"/>
  </w:style>
  <w:style w:type="paragraph" w:styleId="Footer">
    <w:name w:val="footer"/>
    <w:basedOn w:val="Normal"/>
    <w:link w:val="FooterChar"/>
    <w:uiPriority w:val="99"/>
    <w:unhideWhenUsed/>
    <w:rsid w:val="00154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254"/>
  </w:style>
  <w:style w:type="character" w:styleId="UnresolvedMention">
    <w:name w:val="Unresolved Mention"/>
    <w:basedOn w:val="DefaultParagraphFont"/>
    <w:uiPriority w:val="99"/>
    <w:semiHidden/>
    <w:unhideWhenUsed/>
    <w:rsid w:val="004E0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604906">
      <w:bodyDiv w:val="1"/>
      <w:marLeft w:val="0"/>
      <w:marRight w:val="0"/>
      <w:marTop w:val="0"/>
      <w:marBottom w:val="0"/>
      <w:divBdr>
        <w:top w:val="none" w:sz="0" w:space="0" w:color="auto"/>
        <w:left w:val="none" w:sz="0" w:space="0" w:color="auto"/>
        <w:bottom w:val="none" w:sz="0" w:space="0" w:color="auto"/>
        <w:right w:val="none" w:sz="0" w:space="0" w:color="auto"/>
      </w:divBdr>
    </w:div>
    <w:div w:id="1772779302">
      <w:bodyDiv w:val="1"/>
      <w:marLeft w:val="0"/>
      <w:marRight w:val="0"/>
      <w:marTop w:val="0"/>
      <w:marBottom w:val="0"/>
      <w:divBdr>
        <w:top w:val="none" w:sz="0" w:space="0" w:color="auto"/>
        <w:left w:val="none" w:sz="0" w:space="0" w:color="auto"/>
        <w:bottom w:val="none" w:sz="0" w:space="0" w:color="auto"/>
        <w:right w:val="none" w:sz="0" w:space="0" w:color="auto"/>
      </w:divBdr>
      <w:divsChild>
        <w:div w:id="882058940">
          <w:marLeft w:val="0"/>
          <w:marRight w:val="0"/>
          <w:marTop w:val="0"/>
          <w:marBottom w:val="0"/>
          <w:divBdr>
            <w:top w:val="none" w:sz="0" w:space="0" w:color="auto"/>
            <w:left w:val="none" w:sz="0" w:space="0" w:color="auto"/>
            <w:bottom w:val="none" w:sz="0" w:space="0" w:color="auto"/>
            <w:right w:val="none" w:sz="0" w:space="0" w:color="auto"/>
          </w:divBdr>
        </w:div>
        <w:div w:id="2090616094">
          <w:marLeft w:val="0"/>
          <w:marRight w:val="0"/>
          <w:marTop w:val="0"/>
          <w:marBottom w:val="0"/>
          <w:divBdr>
            <w:top w:val="none" w:sz="0" w:space="0" w:color="auto"/>
            <w:left w:val="none" w:sz="0" w:space="0" w:color="auto"/>
            <w:bottom w:val="none" w:sz="0" w:space="0" w:color="auto"/>
            <w:right w:val="none" w:sz="0" w:space="0" w:color="auto"/>
          </w:divBdr>
        </w:div>
        <w:div w:id="530073602">
          <w:marLeft w:val="0"/>
          <w:marRight w:val="0"/>
          <w:marTop w:val="0"/>
          <w:marBottom w:val="0"/>
          <w:divBdr>
            <w:top w:val="none" w:sz="0" w:space="0" w:color="auto"/>
            <w:left w:val="none" w:sz="0" w:space="0" w:color="auto"/>
            <w:bottom w:val="none" w:sz="0" w:space="0" w:color="auto"/>
            <w:right w:val="none" w:sz="0" w:space="0" w:color="auto"/>
          </w:divBdr>
        </w:div>
        <w:div w:id="437405983">
          <w:marLeft w:val="0"/>
          <w:marRight w:val="0"/>
          <w:marTop w:val="0"/>
          <w:marBottom w:val="0"/>
          <w:divBdr>
            <w:top w:val="none" w:sz="0" w:space="0" w:color="auto"/>
            <w:left w:val="none" w:sz="0" w:space="0" w:color="auto"/>
            <w:bottom w:val="none" w:sz="0" w:space="0" w:color="auto"/>
            <w:right w:val="none" w:sz="0" w:space="0" w:color="auto"/>
          </w:divBdr>
        </w:div>
        <w:div w:id="961034966">
          <w:marLeft w:val="0"/>
          <w:marRight w:val="0"/>
          <w:marTop w:val="0"/>
          <w:marBottom w:val="0"/>
          <w:divBdr>
            <w:top w:val="none" w:sz="0" w:space="0" w:color="auto"/>
            <w:left w:val="none" w:sz="0" w:space="0" w:color="auto"/>
            <w:bottom w:val="none" w:sz="0" w:space="0" w:color="auto"/>
            <w:right w:val="none" w:sz="0" w:space="0" w:color="auto"/>
          </w:divBdr>
        </w:div>
        <w:div w:id="706224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ric.Hutmacher@dentoncounty.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rryh@plano.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J.Manor@arlingtontx.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ctcog.org/ep/resources/eoc-handbook-templat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AF726-18A5-4DFF-B538-C4BE680EE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Braydon Williams</dc:creator>
  <cp:keywords/>
  <dc:description/>
  <cp:lastModifiedBy>Candice Forsyth</cp:lastModifiedBy>
  <cp:revision>2</cp:revision>
  <dcterms:created xsi:type="dcterms:W3CDTF">2021-01-13T17:06:00Z</dcterms:created>
  <dcterms:modified xsi:type="dcterms:W3CDTF">2021-01-13T17:06:00Z</dcterms:modified>
</cp:coreProperties>
</file>